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223F" w14:textId="1FF1894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24293B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632FB" w:rsidRPr="00B632F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R4-2312523</w:t>
      </w:r>
    </w:p>
    <w:bookmarkEnd w:id="0"/>
    <w:bookmarkEnd w:id="1"/>
    <w:p w14:paraId="3AE5144B" w14:textId="77777777" w:rsidR="0024293B" w:rsidRPr="008C39F7" w:rsidRDefault="0024293B" w:rsidP="002429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 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347BA9C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72CBABE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A04CC23" w14:textId="2942C79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293B" w:rsidRPr="0024293B">
        <w:rPr>
          <w:rFonts w:ascii="Arial" w:eastAsia="Calibri" w:hAnsi="Arial" w:cs="Arial"/>
          <w:b/>
          <w:bCs/>
          <w:sz w:val="24"/>
        </w:rPr>
        <w:t>Discussion on TCI state activation before LTM cell switch</w:t>
      </w:r>
    </w:p>
    <w:p w14:paraId="05182EA3" w14:textId="5F91A4A4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4293B" w:rsidRPr="0024293B">
        <w:rPr>
          <w:rFonts w:ascii="Arial" w:eastAsia="MS Mincho" w:hAnsi="Arial" w:cs="Arial"/>
          <w:b/>
          <w:bCs/>
          <w:sz w:val="24"/>
          <w:szCs w:val="20"/>
        </w:rPr>
        <w:t>8.24.2.4</w:t>
      </w:r>
    </w:p>
    <w:p w14:paraId="0BC1E77A" w14:textId="77777777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28D9F901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3EA3474" w14:textId="4DA7187F" w:rsidR="0060543D" w:rsidRPr="008C39F7" w:rsidRDefault="007A13ED" w:rsidP="005C23A4">
      <w:r>
        <w:t xml:space="preserve">TCI state indication and activation as part of the </w:t>
      </w:r>
      <w:r w:rsidR="00B167C0">
        <w:t xml:space="preserve">LTM </w:t>
      </w:r>
      <w:r>
        <w:t xml:space="preserve">cell switch command shall be </w:t>
      </w:r>
      <w:proofErr w:type="gramStart"/>
      <w:r>
        <w:t>taken into account</w:t>
      </w:r>
      <w:proofErr w:type="gramEnd"/>
      <w:r>
        <w:t xml:space="preserve"> in the cell switch delay requirements</w:t>
      </w:r>
      <w:r w:rsidR="0007647F">
        <w:t xml:space="preserve"> under AI </w:t>
      </w:r>
      <w:r w:rsidR="0007647F" w:rsidRPr="0007647F">
        <w:t>8.24.2.3</w:t>
      </w:r>
      <w:r>
        <w:t>. However, RAN1 has agreed that TCI state activation for one or more LTM candidate cells may also happen before the cell switch</w:t>
      </w:r>
      <w:r w:rsidR="00B167C0">
        <w:t>. Separate requirements would apply to this case, which is why i</w:t>
      </w:r>
      <w:r w:rsidR="008E088D">
        <w:t xml:space="preserve">n this contribution we discuss </w:t>
      </w:r>
      <w:r w:rsidR="00A61D31">
        <w:t>the delay requirement for TCI state activation for one or more LTM candidate cells before the LTM cell switch command.</w:t>
      </w:r>
    </w:p>
    <w:p w14:paraId="753976BA" w14:textId="01552D30" w:rsidR="00EF006F" w:rsidRPr="00F33EB8" w:rsidRDefault="00EF006F" w:rsidP="00EF006F">
      <w:pPr>
        <w:pStyle w:val="RAN4H1"/>
        <w:jc w:val="both"/>
      </w:pPr>
      <w:r w:rsidRPr="00F33EB8">
        <w:t xml:space="preserve">TCI state </w:t>
      </w:r>
      <w:r w:rsidR="00D654A0">
        <w:t>activation and indication</w:t>
      </w:r>
      <w:r w:rsidRPr="00F33EB8">
        <w:t xml:space="preserve"> </w:t>
      </w:r>
      <w:r w:rsidR="00D654A0">
        <w:t>in LTM</w:t>
      </w:r>
    </w:p>
    <w:p w14:paraId="388CAF8A" w14:textId="77777777" w:rsidR="00EF006F" w:rsidRPr="00F33EB8" w:rsidRDefault="00EF006F" w:rsidP="00EF006F">
      <w:pPr>
        <w:rPr>
          <w:szCs w:val="20"/>
        </w:rPr>
      </w:pPr>
      <w:r w:rsidRPr="00F33EB8">
        <w:rPr>
          <w:szCs w:val="20"/>
        </w:rPr>
        <w:t xml:space="preserve">According to RAN1 LS (R1-2304276), RAN1 has agreed that unified TCI framework is used </w:t>
      </w:r>
      <w:r>
        <w:rPr>
          <w:szCs w:val="20"/>
        </w:rPr>
        <w:t xml:space="preserve">for indicating the target beam </w:t>
      </w:r>
      <w:r w:rsidRPr="00F33EB8">
        <w:rPr>
          <w:szCs w:val="20"/>
        </w:rPr>
        <w:t xml:space="preserve">for LTM. </w:t>
      </w:r>
    </w:p>
    <w:p w14:paraId="08370DA3" w14:textId="77777777" w:rsidR="00EF006F" w:rsidRPr="00F33EB8" w:rsidRDefault="00EF006F" w:rsidP="00EF006F">
      <w:pPr>
        <w:pStyle w:val="RAN4observation0"/>
        <w:spacing w:after="0" w:line="240" w:lineRule="auto"/>
      </w:pPr>
      <w:bookmarkStart w:id="4" w:name="_Toc142662464"/>
      <w:r w:rsidRPr="00F33EB8">
        <w:t>Unified TCI state framework is used to indicate the target beam in LTM.</w:t>
      </w:r>
      <w:bookmarkEnd w:id="4"/>
    </w:p>
    <w:p w14:paraId="4312EB26" w14:textId="77777777" w:rsidR="00EF006F" w:rsidRPr="00F33EB8" w:rsidRDefault="00EF006F" w:rsidP="00EF006F"/>
    <w:p w14:paraId="47D3EED7" w14:textId="77777777" w:rsidR="00EF006F" w:rsidRPr="00F33EB8" w:rsidRDefault="00EF006F" w:rsidP="00EF006F">
      <w:pPr>
        <w:rPr>
          <w:szCs w:val="20"/>
        </w:rPr>
      </w:pPr>
      <w:r w:rsidRPr="00F33EB8">
        <w:rPr>
          <w:szCs w:val="20"/>
        </w:rPr>
        <w:t>In unified TCI framework, the procedure consists of the following steps:</w:t>
      </w:r>
    </w:p>
    <w:p w14:paraId="287E865F" w14:textId="77777777" w:rsidR="00EF006F" w:rsidRPr="00F33EB8" w:rsidRDefault="00EF006F" w:rsidP="00EF006F">
      <w:pPr>
        <w:pStyle w:val="ListParagraph"/>
        <w:numPr>
          <w:ilvl w:val="0"/>
          <w:numId w:val="28"/>
        </w:numPr>
        <w:spacing w:after="0" w:line="240" w:lineRule="auto"/>
        <w:rPr>
          <w:szCs w:val="20"/>
        </w:rPr>
      </w:pPr>
      <w:r w:rsidRPr="00F33EB8">
        <w:rPr>
          <w:szCs w:val="20"/>
        </w:rPr>
        <w:t>RRC-based configuration of TCI states (joint UL/DL TCI states or separate UL and DL TCI states)</w:t>
      </w:r>
    </w:p>
    <w:p w14:paraId="18F5C34E" w14:textId="77777777" w:rsidR="00EF006F" w:rsidRDefault="00EF006F" w:rsidP="00EF006F">
      <w:pPr>
        <w:pStyle w:val="ListParagraph"/>
        <w:numPr>
          <w:ilvl w:val="0"/>
          <w:numId w:val="28"/>
        </w:numPr>
        <w:spacing w:after="0" w:line="240" w:lineRule="auto"/>
        <w:rPr>
          <w:szCs w:val="20"/>
        </w:rPr>
      </w:pPr>
      <w:r w:rsidRPr="00F33EB8">
        <w:rPr>
          <w:szCs w:val="20"/>
        </w:rPr>
        <w:t xml:space="preserve">MAC-CE based activation of up to 8 </w:t>
      </w:r>
      <w:r>
        <w:rPr>
          <w:szCs w:val="20"/>
        </w:rPr>
        <w:t xml:space="preserve">joint UL/DL </w:t>
      </w:r>
      <w:r w:rsidRPr="00F33EB8">
        <w:rPr>
          <w:szCs w:val="20"/>
        </w:rPr>
        <w:t>TCI states</w:t>
      </w:r>
      <w:r>
        <w:rPr>
          <w:szCs w:val="20"/>
        </w:rPr>
        <w:t xml:space="preserve"> or separate UL and DL TCI states</w:t>
      </w:r>
    </w:p>
    <w:p w14:paraId="2752442E" w14:textId="35CBAB1A" w:rsidR="00EF006F" w:rsidRDefault="00682ABF" w:rsidP="00EF006F">
      <w:pPr>
        <w:pStyle w:val="ListParagraph"/>
        <w:numPr>
          <w:ilvl w:val="1"/>
          <w:numId w:val="28"/>
        </w:numPr>
        <w:spacing w:after="0" w:line="240" w:lineRule="auto"/>
        <w:rPr>
          <w:szCs w:val="20"/>
        </w:rPr>
      </w:pPr>
      <w:r>
        <w:rPr>
          <w:szCs w:val="20"/>
        </w:rPr>
        <w:t>RAN4 requirements f</w:t>
      </w:r>
      <w:r w:rsidR="00EF006F">
        <w:rPr>
          <w:szCs w:val="20"/>
        </w:rPr>
        <w:t>or activation of a single joint UL/DL or separate UL and DL TCI states:</w:t>
      </w:r>
    </w:p>
    <w:p w14:paraId="1A0E5F12" w14:textId="77777777" w:rsidR="00EF006F" w:rsidRPr="003B2B6D" w:rsidRDefault="00EF006F" w:rsidP="00EF006F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8.15.3</w:t>
      </w:r>
      <w:r w:rsidRPr="003B2B6D">
        <w:rPr>
          <w:i/>
          <w:iCs/>
          <w:szCs w:val="20"/>
        </w:rPr>
        <w:tab/>
        <w:t>MAC-CE based downlink TCI state switch delay</w:t>
      </w:r>
    </w:p>
    <w:p w14:paraId="3461FE85" w14:textId="77777777" w:rsidR="00EF006F" w:rsidRPr="003B2B6D" w:rsidRDefault="00EF006F" w:rsidP="00EF006F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8.16.3</w:t>
      </w:r>
      <w:r w:rsidRPr="003B2B6D">
        <w:rPr>
          <w:i/>
          <w:iCs/>
          <w:szCs w:val="20"/>
        </w:rPr>
        <w:tab/>
        <w:t>MAC-CE based uplink TCI state switch delay</w:t>
      </w:r>
    </w:p>
    <w:p w14:paraId="2E6E0B03" w14:textId="1F0CA861" w:rsidR="00EF006F" w:rsidRDefault="00682ABF" w:rsidP="00EF006F">
      <w:pPr>
        <w:pStyle w:val="ListParagraph"/>
        <w:numPr>
          <w:ilvl w:val="1"/>
          <w:numId w:val="28"/>
        </w:numPr>
        <w:spacing w:after="0" w:line="240" w:lineRule="auto"/>
        <w:rPr>
          <w:szCs w:val="20"/>
        </w:rPr>
      </w:pPr>
      <w:r>
        <w:rPr>
          <w:szCs w:val="20"/>
        </w:rPr>
        <w:t>RAN4 requirements f</w:t>
      </w:r>
      <w:r w:rsidR="00EF006F">
        <w:rPr>
          <w:szCs w:val="20"/>
        </w:rPr>
        <w:t>or activation of more than one joint UL/DL state or separate UL and DL TCI states</w:t>
      </w:r>
    </w:p>
    <w:p w14:paraId="4EA92BA2" w14:textId="77777777" w:rsidR="00EF006F" w:rsidRPr="003B2B6D" w:rsidRDefault="00EF006F" w:rsidP="00EF006F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8.15.5</w:t>
      </w:r>
      <w:r w:rsidRPr="003B2B6D">
        <w:rPr>
          <w:i/>
          <w:iCs/>
          <w:szCs w:val="20"/>
        </w:rPr>
        <w:tab/>
        <w:t>Active Downlink TCI state list update delay</w:t>
      </w:r>
    </w:p>
    <w:p w14:paraId="4AFBD2DF" w14:textId="77777777" w:rsidR="00EF006F" w:rsidRPr="003B2B6D" w:rsidRDefault="00EF006F" w:rsidP="00EF006F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8.16.5</w:t>
      </w:r>
      <w:r w:rsidRPr="003B2B6D">
        <w:rPr>
          <w:i/>
          <w:iCs/>
          <w:szCs w:val="20"/>
        </w:rPr>
        <w:tab/>
        <w:t>Active Uplink TCI state list update delay</w:t>
      </w:r>
    </w:p>
    <w:p w14:paraId="39D599DE" w14:textId="77777777" w:rsidR="00EF006F" w:rsidRDefault="00EF006F" w:rsidP="00EF006F">
      <w:pPr>
        <w:pStyle w:val="ListParagraph"/>
        <w:numPr>
          <w:ilvl w:val="0"/>
          <w:numId w:val="28"/>
        </w:numPr>
        <w:spacing w:after="0" w:line="240" w:lineRule="auto"/>
        <w:rPr>
          <w:szCs w:val="20"/>
        </w:rPr>
      </w:pPr>
      <w:r w:rsidRPr="00F33EB8">
        <w:rPr>
          <w:szCs w:val="20"/>
        </w:rPr>
        <w:t xml:space="preserve">DCI-based indication of a single </w:t>
      </w:r>
      <w:r>
        <w:rPr>
          <w:szCs w:val="20"/>
        </w:rPr>
        <w:t xml:space="preserve">joint UL/DL </w:t>
      </w:r>
      <w:r w:rsidRPr="00F33EB8">
        <w:rPr>
          <w:szCs w:val="20"/>
        </w:rPr>
        <w:t>TCI state</w:t>
      </w:r>
      <w:r>
        <w:rPr>
          <w:szCs w:val="20"/>
        </w:rPr>
        <w:t xml:space="preserve"> or a pair of UL and DL TCI states</w:t>
      </w:r>
    </w:p>
    <w:p w14:paraId="0FCBFD7F" w14:textId="41D6CCC7" w:rsidR="003B2B6D" w:rsidRDefault="003B2B6D" w:rsidP="003B2B6D">
      <w:pPr>
        <w:pStyle w:val="ListParagraph"/>
        <w:numPr>
          <w:ilvl w:val="1"/>
          <w:numId w:val="28"/>
        </w:numPr>
        <w:spacing w:after="0" w:line="240" w:lineRule="auto"/>
        <w:rPr>
          <w:szCs w:val="20"/>
        </w:rPr>
      </w:pPr>
      <w:r>
        <w:rPr>
          <w:szCs w:val="20"/>
        </w:rPr>
        <w:t>RAN4 requirements:</w:t>
      </w:r>
    </w:p>
    <w:p w14:paraId="527C9FDB" w14:textId="77777777" w:rsidR="00EF006F" w:rsidRPr="003B2B6D" w:rsidRDefault="00EF006F" w:rsidP="003B2B6D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8.15.4</w:t>
      </w:r>
      <w:r w:rsidRPr="003B2B6D">
        <w:rPr>
          <w:i/>
          <w:iCs/>
          <w:szCs w:val="20"/>
        </w:rPr>
        <w:tab/>
        <w:t xml:space="preserve">DCI based downlink TCI state switch </w:t>
      </w:r>
      <w:proofErr w:type="gramStart"/>
      <w:r w:rsidRPr="003B2B6D">
        <w:rPr>
          <w:i/>
          <w:iCs/>
          <w:szCs w:val="20"/>
        </w:rPr>
        <w:t>delay</w:t>
      </w:r>
      <w:proofErr w:type="gramEnd"/>
    </w:p>
    <w:p w14:paraId="120D75F8" w14:textId="77777777" w:rsidR="00EF006F" w:rsidRPr="003B2B6D" w:rsidRDefault="00EF006F" w:rsidP="003B2B6D">
      <w:pPr>
        <w:pStyle w:val="ListParagraph"/>
        <w:numPr>
          <w:ilvl w:val="2"/>
          <w:numId w:val="28"/>
        </w:numPr>
        <w:spacing w:after="0" w:line="240" w:lineRule="auto"/>
        <w:rPr>
          <w:i/>
          <w:iCs/>
          <w:szCs w:val="20"/>
        </w:rPr>
      </w:pPr>
      <w:r w:rsidRPr="003B2B6D">
        <w:rPr>
          <w:i/>
          <w:iCs/>
          <w:szCs w:val="20"/>
        </w:rPr>
        <w:t>8.16.4</w:t>
      </w:r>
      <w:r w:rsidRPr="003B2B6D">
        <w:rPr>
          <w:i/>
          <w:iCs/>
          <w:szCs w:val="20"/>
        </w:rPr>
        <w:tab/>
        <w:t xml:space="preserve">DCI based uplink TCI state switch </w:t>
      </w:r>
      <w:proofErr w:type="gramStart"/>
      <w:r w:rsidRPr="003B2B6D">
        <w:rPr>
          <w:i/>
          <w:iCs/>
          <w:szCs w:val="20"/>
        </w:rPr>
        <w:t>delay</w:t>
      </w:r>
      <w:proofErr w:type="gramEnd"/>
    </w:p>
    <w:p w14:paraId="297363AB" w14:textId="77777777" w:rsidR="00EF006F" w:rsidRDefault="00EF006F" w:rsidP="00EF006F">
      <w:pPr>
        <w:rPr>
          <w:szCs w:val="20"/>
        </w:rPr>
      </w:pPr>
    </w:p>
    <w:p w14:paraId="4AC34FEB" w14:textId="77777777" w:rsidR="00EF006F" w:rsidRDefault="00EF006F" w:rsidP="00EF006F">
      <w:pPr>
        <w:rPr>
          <w:szCs w:val="20"/>
        </w:rPr>
      </w:pPr>
      <w:r w:rsidRPr="00F33EB8">
        <w:rPr>
          <w:szCs w:val="20"/>
        </w:rPr>
        <w:t xml:space="preserve">According to RAN1/RAN2 agreements, TCI state </w:t>
      </w:r>
      <w:r w:rsidRPr="00F33EB8">
        <w:rPr>
          <w:i/>
          <w:szCs w:val="20"/>
        </w:rPr>
        <w:t>activation</w:t>
      </w:r>
      <w:r w:rsidRPr="00F33EB8">
        <w:rPr>
          <w:szCs w:val="20"/>
        </w:rPr>
        <w:t xml:space="preserve"> can </w:t>
      </w:r>
      <w:r w:rsidRPr="00F33EB8">
        <w:rPr>
          <w:iCs/>
          <w:szCs w:val="20"/>
        </w:rPr>
        <w:t>be either done</w:t>
      </w:r>
      <w:r w:rsidRPr="00F33EB8">
        <w:rPr>
          <w:szCs w:val="20"/>
        </w:rPr>
        <w:t xml:space="preserve"> before the cell switch command with a separate MAC</w:t>
      </w:r>
      <w:r>
        <w:rPr>
          <w:szCs w:val="20"/>
        </w:rPr>
        <w:t>-</w:t>
      </w:r>
      <w:r w:rsidRPr="00F33EB8">
        <w:rPr>
          <w:szCs w:val="20"/>
        </w:rPr>
        <w:t>CE</w:t>
      </w:r>
      <w:r>
        <w:rPr>
          <w:szCs w:val="20"/>
        </w:rPr>
        <w:t xml:space="preserve"> </w:t>
      </w:r>
      <w:r w:rsidRPr="00F33EB8">
        <w:rPr>
          <w:szCs w:val="20"/>
        </w:rPr>
        <w:t xml:space="preserve">for </w:t>
      </w:r>
      <w:r>
        <w:rPr>
          <w:szCs w:val="20"/>
        </w:rPr>
        <w:t>a candidate cell</w:t>
      </w:r>
      <w:r w:rsidRPr="00F33EB8">
        <w:rPr>
          <w:szCs w:val="20"/>
        </w:rPr>
        <w:t xml:space="preserve"> </w:t>
      </w:r>
      <w:r>
        <w:rPr>
          <w:szCs w:val="20"/>
        </w:rPr>
        <w:t xml:space="preserve">or </w:t>
      </w:r>
      <w:r w:rsidRPr="00F33EB8">
        <w:rPr>
          <w:szCs w:val="20"/>
        </w:rPr>
        <w:t>at the cell switch command</w:t>
      </w:r>
      <w:r>
        <w:rPr>
          <w:szCs w:val="20"/>
        </w:rPr>
        <w:t xml:space="preserve"> for the target cell</w:t>
      </w:r>
      <w:r w:rsidRPr="00F33EB8">
        <w:rPr>
          <w:szCs w:val="20"/>
        </w:rPr>
        <w:t xml:space="preserve">. </w:t>
      </w:r>
    </w:p>
    <w:p w14:paraId="41DDB812" w14:textId="77777777" w:rsidR="00EF006F" w:rsidRDefault="00EF006F" w:rsidP="00EF006F">
      <w:pPr>
        <w:pStyle w:val="RAN4observation0"/>
        <w:jc w:val="both"/>
      </w:pPr>
      <w:bookmarkStart w:id="5" w:name="_Toc142662465"/>
      <w:r>
        <w:t xml:space="preserve">In LTM, </w:t>
      </w:r>
      <w:r w:rsidRPr="00F33EB8">
        <w:t>TCI state activation can be done either with a separate MAC CE before the cell switch command or at the cell switch command.</w:t>
      </w:r>
      <w:bookmarkEnd w:id="5"/>
    </w:p>
    <w:p w14:paraId="71EB723D" w14:textId="7D330703" w:rsidR="00EF006F" w:rsidRPr="00F33EB8" w:rsidRDefault="00EF006F" w:rsidP="00EF006F">
      <w:pPr>
        <w:rPr>
          <w:szCs w:val="20"/>
        </w:rPr>
      </w:pPr>
      <w:r w:rsidRPr="00F33EB8">
        <w:rPr>
          <w:szCs w:val="20"/>
        </w:rPr>
        <w:t xml:space="preserve">Instead of indicating the TCI state in DCI, TCI state </w:t>
      </w:r>
      <w:r w:rsidRPr="00F33EB8">
        <w:rPr>
          <w:i/>
          <w:iCs/>
          <w:szCs w:val="20"/>
        </w:rPr>
        <w:t>indication</w:t>
      </w:r>
      <w:r w:rsidRPr="00F33EB8">
        <w:rPr>
          <w:szCs w:val="20"/>
        </w:rPr>
        <w:t xml:space="preserve"> in LTM is done at the cell switch command, which is a MAC CE message.</w:t>
      </w:r>
      <w:r w:rsidR="000840E0">
        <w:rPr>
          <w:szCs w:val="20"/>
        </w:rPr>
        <w:t xml:space="preserve"> TCI state indication at the cell switch command is done either together with TCI state activation or </w:t>
      </w:r>
      <w:r w:rsidR="009B3430">
        <w:rPr>
          <w:szCs w:val="20"/>
        </w:rPr>
        <w:t xml:space="preserve">alone </w:t>
      </w:r>
      <w:r w:rsidR="00846A36">
        <w:rPr>
          <w:szCs w:val="20"/>
        </w:rPr>
        <w:t>for a</w:t>
      </w:r>
      <w:r w:rsidR="000840E0">
        <w:rPr>
          <w:szCs w:val="20"/>
        </w:rPr>
        <w:t xml:space="preserve"> TCI state that was activated before the cell switch command</w:t>
      </w:r>
      <w:r w:rsidR="00846A36">
        <w:rPr>
          <w:szCs w:val="20"/>
        </w:rPr>
        <w:t>.</w:t>
      </w:r>
    </w:p>
    <w:p w14:paraId="708A76FB" w14:textId="77777777" w:rsidR="00EF006F" w:rsidRPr="00F33EB8" w:rsidRDefault="00EF006F" w:rsidP="00EF006F">
      <w:pPr>
        <w:pStyle w:val="RAN4observation0"/>
        <w:jc w:val="both"/>
      </w:pPr>
      <w:bookmarkStart w:id="6" w:name="_Toc142662466"/>
      <w:r>
        <w:t xml:space="preserve">In LTM, </w:t>
      </w:r>
      <w:r w:rsidRPr="00F33EB8">
        <w:t>TCI state indication is done at the cell switch command, which is a MAC</w:t>
      </w:r>
      <w:r>
        <w:t>-</w:t>
      </w:r>
      <w:r w:rsidRPr="00F33EB8">
        <w:t>CE</w:t>
      </w:r>
      <w:r>
        <w:t xml:space="preserve"> command (not DCI as in legacy)</w:t>
      </w:r>
      <w:r w:rsidRPr="00F33EB8">
        <w:t>.</w:t>
      </w:r>
      <w:bookmarkEnd w:id="6"/>
    </w:p>
    <w:p w14:paraId="0B037FE3" w14:textId="1DB5E79A" w:rsidR="00EF006F" w:rsidRPr="00F33EB8" w:rsidRDefault="00EF006F" w:rsidP="00EF006F">
      <w:pPr>
        <w:rPr>
          <w:szCs w:val="20"/>
        </w:rPr>
      </w:pPr>
      <w:r w:rsidRPr="00F33EB8">
        <w:rPr>
          <w:szCs w:val="20"/>
        </w:rPr>
        <w:t xml:space="preserve">What RAN4 needs to </w:t>
      </w:r>
      <w:proofErr w:type="gramStart"/>
      <w:r w:rsidRPr="00F33EB8">
        <w:rPr>
          <w:szCs w:val="20"/>
        </w:rPr>
        <w:t>take into account</w:t>
      </w:r>
      <w:proofErr w:type="gramEnd"/>
      <w:r w:rsidRPr="00F33EB8">
        <w:rPr>
          <w:szCs w:val="20"/>
        </w:rPr>
        <w:t xml:space="preserve"> when defining the </w:t>
      </w:r>
      <w:r w:rsidR="009E228B">
        <w:rPr>
          <w:szCs w:val="20"/>
        </w:rPr>
        <w:t>requirements</w:t>
      </w:r>
      <w:r w:rsidRPr="00F33EB8">
        <w:rPr>
          <w:szCs w:val="20"/>
        </w:rPr>
        <w:t xml:space="preserve"> for TCI state activation and indication is:</w:t>
      </w:r>
    </w:p>
    <w:p w14:paraId="204DCEF4" w14:textId="01C124D5" w:rsidR="00EF006F" w:rsidRPr="00F33EB8" w:rsidRDefault="00EF006F" w:rsidP="00EF006F">
      <w:pPr>
        <w:pStyle w:val="ListParagraph"/>
        <w:numPr>
          <w:ilvl w:val="0"/>
          <w:numId w:val="29"/>
        </w:numPr>
        <w:jc w:val="both"/>
        <w:rPr>
          <w:szCs w:val="20"/>
        </w:rPr>
      </w:pPr>
      <w:r>
        <w:rPr>
          <w:szCs w:val="20"/>
        </w:rPr>
        <w:t>How to define TCI state switching</w:t>
      </w:r>
      <w:r w:rsidRPr="00F33EB8">
        <w:rPr>
          <w:szCs w:val="20"/>
        </w:rPr>
        <w:t xml:space="preserve"> requirements for TCI state activation before the cell switch command.</w:t>
      </w:r>
    </w:p>
    <w:p w14:paraId="640935EA" w14:textId="77777777" w:rsidR="00EF006F" w:rsidRPr="00F33EB8" w:rsidRDefault="00EF006F" w:rsidP="00EF006F">
      <w:pPr>
        <w:pStyle w:val="ListParagraph"/>
        <w:numPr>
          <w:ilvl w:val="0"/>
          <w:numId w:val="29"/>
        </w:numPr>
        <w:jc w:val="both"/>
        <w:rPr>
          <w:szCs w:val="20"/>
        </w:rPr>
      </w:pPr>
      <w:r>
        <w:rPr>
          <w:szCs w:val="20"/>
        </w:rPr>
        <w:lastRenderedPageBreak/>
        <w:t xml:space="preserve">How to </w:t>
      </w:r>
      <w:proofErr w:type="gramStart"/>
      <w:r>
        <w:rPr>
          <w:szCs w:val="20"/>
        </w:rPr>
        <w:t>take into account</w:t>
      </w:r>
      <w:proofErr w:type="gramEnd"/>
      <w:r w:rsidRPr="00F33EB8">
        <w:rPr>
          <w:szCs w:val="20"/>
        </w:rPr>
        <w:t xml:space="preserve"> TCI state indication at </w:t>
      </w:r>
      <w:r>
        <w:rPr>
          <w:szCs w:val="20"/>
        </w:rPr>
        <w:t xml:space="preserve">the </w:t>
      </w:r>
      <w:r w:rsidRPr="00F33EB8">
        <w:rPr>
          <w:szCs w:val="20"/>
        </w:rPr>
        <w:t>cell switch</w:t>
      </w:r>
      <w:r>
        <w:rPr>
          <w:szCs w:val="20"/>
        </w:rPr>
        <w:t xml:space="preserve"> delay</w:t>
      </w:r>
      <w:r w:rsidRPr="00F33EB8">
        <w:rPr>
          <w:szCs w:val="20"/>
        </w:rPr>
        <w:t>, when TCI state activation is done before the cell switch command.</w:t>
      </w:r>
    </w:p>
    <w:p w14:paraId="50663297" w14:textId="77777777" w:rsidR="00EF006F" w:rsidRDefault="00EF006F" w:rsidP="00EF006F">
      <w:pPr>
        <w:pStyle w:val="ListParagraph"/>
        <w:numPr>
          <w:ilvl w:val="0"/>
          <w:numId w:val="29"/>
        </w:numPr>
        <w:jc w:val="both"/>
        <w:rPr>
          <w:szCs w:val="20"/>
        </w:rPr>
      </w:pPr>
      <w:r>
        <w:rPr>
          <w:szCs w:val="20"/>
        </w:rPr>
        <w:t xml:space="preserve">How to </w:t>
      </w:r>
      <w:proofErr w:type="gramStart"/>
      <w:r>
        <w:rPr>
          <w:szCs w:val="20"/>
        </w:rPr>
        <w:t>take into account</w:t>
      </w:r>
      <w:proofErr w:type="gramEnd"/>
      <w:r w:rsidRPr="00F33EB8">
        <w:rPr>
          <w:szCs w:val="20"/>
        </w:rPr>
        <w:t xml:space="preserve"> TCI state indication </w:t>
      </w:r>
      <w:r>
        <w:rPr>
          <w:szCs w:val="20"/>
        </w:rPr>
        <w:t xml:space="preserve">and activation </w:t>
      </w:r>
      <w:r w:rsidRPr="00F33EB8">
        <w:rPr>
          <w:szCs w:val="20"/>
        </w:rPr>
        <w:t xml:space="preserve">at </w:t>
      </w:r>
      <w:r>
        <w:rPr>
          <w:szCs w:val="20"/>
        </w:rPr>
        <w:t xml:space="preserve">the </w:t>
      </w:r>
      <w:r w:rsidRPr="00F33EB8">
        <w:rPr>
          <w:szCs w:val="20"/>
        </w:rPr>
        <w:t>cell switch</w:t>
      </w:r>
      <w:r>
        <w:rPr>
          <w:szCs w:val="20"/>
        </w:rPr>
        <w:t xml:space="preserve"> delay</w:t>
      </w:r>
      <w:r w:rsidRPr="00F33EB8">
        <w:rPr>
          <w:szCs w:val="20"/>
        </w:rPr>
        <w:t xml:space="preserve">, when </w:t>
      </w:r>
      <w:r>
        <w:rPr>
          <w:szCs w:val="20"/>
        </w:rPr>
        <w:t xml:space="preserve">both are </w:t>
      </w:r>
      <w:r w:rsidRPr="00F33EB8">
        <w:rPr>
          <w:szCs w:val="20"/>
        </w:rPr>
        <w:t>done at the cell switch command.</w:t>
      </w:r>
    </w:p>
    <w:p w14:paraId="6ED0E491" w14:textId="41289343" w:rsidR="00050B7A" w:rsidRPr="00050B7A" w:rsidRDefault="00050B7A" w:rsidP="00050B7A">
      <w:pPr>
        <w:jc w:val="both"/>
        <w:rPr>
          <w:szCs w:val="20"/>
        </w:rPr>
      </w:pPr>
      <w:r>
        <w:rPr>
          <w:szCs w:val="20"/>
        </w:rPr>
        <w:t xml:space="preserve">Points 2. </w:t>
      </w:r>
      <w:r w:rsidR="004352B3">
        <w:rPr>
          <w:szCs w:val="20"/>
        </w:rPr>
        <w:t>a</w:t>
      </w:r>
      <w:r>
        <w:rPr>
          <w:szCs w:val="20"/>
        </w:rPr>
        <w:t xml:space="preserve">nd 3. </w:t>
      </w:r>
      <w:r w:rsidR="004352B3">
        <w:rPr>
          <w:szCs w:val="20"/>
        </w:rPr>
        <w:t>a</w:t>
      </w:r>
      <w:r>
        <w:rPr>
          <w:szCs w:val="20"/>
        </w:rPr>
        <w:t xml:space="preserve">re discussed in our companion paper </w:t>
      </w:r>
      <w:r w:rsidR="00F45CAA">
        <w:rPr>
          <w:szCs w:val="20"/>
        </w:rPr>
        <w:t>(</w:t>
      </w:r>
      <w:r w:rsidR="00E10F07" w:rsidRPr="00E10F07">
        <w:rPr>
          <w:szCs w:val="20"/>
        </w:rPr>
        <w:t>R4-2312522</w:t>
      </w:r>
      <w:r w:rsidR="00E10F07">
        <w:rPr>
          <w:szCs w:val="20"/>
        </w:rPr>
        <w:t xml:space="preserve">) </w:t>
      </w:r>
      <w:r w:rsidR="004352B3">
        <w:rPr>
          <w:szCs w:val="20"/>
        </w:rPr>
        <w:t xml:space="preserve">under the </w:t>
      </w:r>
      <w:r w:rsidR="004352B3" w:rsidRPr="004352B3">
        <w:rPr>
          <w:szCs w:val="20"/>
        </w:rPr>
        <w:t>L1/L2 inter-cell mobility delay requirements</w:t>
      </w:r>
      <w:r w:rsidR="004352B3">
        <w:rPr>
          <w:szCs w:val="20"/>
        </w:rPr>
        <w:t xml:space="preserve"> agenda item. In the following, we discuss </w:t>
      </w:r>
      <w:r w:rsidR="00B223D3">
        <w:rPr>
          <w:szCs w:val="20"/>
        </w:rPr>
        <w:t>point 1</w:t>
      </w:r>
      <w:r w:rsidR="008F4638">
        <w:rPr>
          <w:szCs w:val="20"/>
        </w:rPr>
        <w:t xml:space="preserve"> </w:t>
      </w:r>
      <w:proofErr w:type="gramStart"/>
      <w:r w:rsidR="008F4638">
        <w:rPr>
          <w:szCs w:val="20"/>
        </w:rPr>
        <w:t>i.e.</w:t>
      </w:r>
      <w:proofErr w:type="gramEnd"/>
      <w:r w:rsidR="008F4638">
        <w:rPr>
          <w:szCs w:val="20"/>
        </w:rPr>
        <w:t xml:space="preserve"> TCI state activation before the cell switch command.</w:t>
      </w:r>
      <w:r w:rsidR="00B223D3">
        <w:rPr>
          <w:szCs w:val="20"/>
        </w:rPr>
        <w:t xml:space="preserve"> </w:t>
      </w:r>
    </w:p>
    <w:p w14:paraId="3E47BE2B" w14:textId="7811E4EF" w:rsidR="002E7270" w:rsidRDefault="00592806" w:rsidP="00B57ACD">
      <w:pPr>
        <w:pStyle w:val="RAN4H2"/>
        <w:rPr>
          <w:lang w:val="en-GB" w:eastAsia="en-GB"/>
        </w:rPr>
      </w:pPr>
      <w:r>
        <w:rPr>
          <w:lang w:val="en-GB" w:eastAsia="en-GB"/>
        </w:rPr>
        <w:t xml:space="preserve">Delay requirements for </w:t>
      </w:r>
      <w:r w:rsidR="00B57ACD">
        <w:rPr>
          <w:lang w:val="en-GB" w:eastAsia="en-GB"/>
        </w:rPr>
        <w:t>TCI state activation before the cell switch command</w:t>
      </w:r>
    </w:p>
    <w:p w14:paraId="17307B1C" w14:textId="77777777" w:rsidR="005F3B60" w:rsidRDefault="004562FD" w:rsidP="00EF006F">
      <w:pPr>
        <w:rPr>
          <w:lang w:val="en-GB" w:eastAsia="en-GB"/>
        </w:rPr>
      </w:pPr>
      <w:r>
        <w:rPr>
          <w:lang w:val="en-GB" w:eastAsia="en-GB"/>
        </w:rPr>
        <w:t xml:space="preserve">Because TCI state activation can be done in a separate MAC-CE </w:t>
      </w:r>
      <w:r w:rsidR="005F3B60">
        <w:rPr>
          <w:lang w:val="en-GB" w:eastAsia="en-GB"/>
        </w:rPr>
        <w:t>before the cell switch command, RAN4 needs to define TCI state switching delay requirements for this separate TCI state activation.</w:t>
      </w:r>
    </w:p>
    <w:p w14:paraId="1D14696A" w14:textId="23A8A0E0" w:rsidR="00EF006F" w:rsidRDefault="00EF006F" w:rsidP="00EF006F">
      <w:pPr>
        <w:rPr>
          <w:lang w:val="en-GB" w:eastAsia="en-GB"/>
        </w:rPr>
      </w:pPr>
      <w:r>
        <w:rPr>
          <w:lang w:val="en-GB" w:eastAsia="en-GB"/>
        </w:rPr>
        <w:t>RAN2 has not yet finalized the design of MAC-CE command to be used for LTM candidate cell TCI state activation. However, from RAN4 point of view it is likely that the MAC-CE is not significantly different from MAC-CE used for TCI state activation outside LTM. Therefore, it is likely that the legacy delay requirements defined for a cell with different PCI than the serving cell can be reused for MAC-CE based TCI state activation for a LTM candidate cell.</w:t>
      </w:r>
    </w:p>
    <w:p w14:paraId="3C34D93D" w14:textId="5D84095E" w:rsidR="00A97687" w:rsidRDefault="003660E4" w:rsidP="00A97687">
      <w:pPr>
        <w:pStyle w:val="RAN4proposal"/>
        <w:rPr>
          <w:lang w:val="en-GB" w:eastAsia="en-GB"/>
        </w:rPr>
      </w:pPr>
      <w:bookmarkStart w:id="7" w:name="_Toc142662467"/>
      <w:r>
        <w:rPr>
          <w:lang w:val="en-GB" w:eastAsia="en-GB"/>
        </w:rPr>
        <w:t>Define TCI state</w:t>
      </w:r>
      <w:r w:rsidR="007B16B8">
        <w:rPr>
          <w:lang w:val="en-GB" w:eastAsia="en-GB"/>
        </w:rPr>
        <w:t xml:space="preserve"> switching delay requirements for TCI state activation</w:t>
      </w:r>
      <w:r w:rsidR="00D6522C">
        <w:rPr>
          <w:lang w:val="en-GB" w:eastAsia="en-GB"/>
        </w:rPr>
        <w:t xml:space="preserve"> </w:t>
      </w:r>
      <w:r w:rsidR="007B16B8">
        <w:rPr>
          <w:lang w:val="en-GB" w:eastAsia="en-GB"/>
        </w:rPr>
        <w:t>before the cell switch command.</w:t>
      </w:r>
      <w:bookmarkEnd w:id="7"/>
    </w:p>
    <w:p w14:paraId="331CD12A" w14:textId="104638B7" w:rsidR="00EF006F" w:rsidRDefault="00EF006F" w:rsidP="00EF006F">
      <w:pPr>
        <w:pStyle w:val="RAN4proposal"/>
        <w:rPr>
          <w:lang w:val="en-GB" w:eastAsia="en-GB"/>
        </w:rPr>
      </w:pPr>
      <w:bookmarkStart w:id="8" w:name="_Toc142662468"/>
      <w:r>
        <w:rPr>
          <w:lang w:val="en-GB" w:eastAsia="en-GB"/>
        </w:rPr>
        <w:t xml:space="preserve">Depending on RAN2 design of MAC-CE for TCI state activation for a LTM candidate cell, RAN4 to </w:t>
      </w:r>
      <w:r w:rsidR="00E15FDF">
        <w:rPr>
          <w:lang w:val="en-GB" w:eastAsia="en-GB"/>
        </w:rPr>
        <w:t>use the legacy</w:t>
      </w:r>
      <w:r>
        <w:rPr>
          <w:lang w:val="en-GB" w:eastAsia="en-GB"/>
        </w:rPr>
        <w:t xml:space="preserve"> MAC-CE based TCI state switching delay requirement </w:t>
      </w:r>
      <w:r w:rsidR="00E15FDF">
        <w:rPr>
          <w:lang w:val="en-GB" w:eastAsia="en-GB"/>
        </w:rPr>
        <w:t xml:space="preserve">for unified TCI states </w:t>
      </w:r>
      <w:r>
        <w:rPr>
          <w:lang w:val="en-GB" w:eastAsia="en-GB"/>
        </w:rPr>
        <w:t>as the baseline for TCI state activation delay for a LTM candidate cell before the cell switch command.</w:t>
      </w:r>
      <w:bookmarkEnd w:id="8"/>
    </w:p>
    <w:p w14:paraId="739100EF" w14:textId="6EBC9094" w:rsidR="00EF006F" w:rsidRDefault="00EF006F" w:rsidP="00EF006F">
      <w:pPr>
        <w:rPr>
          <w:lang w:val="en-GB" w:eastAsia="en-GB"/>
        </w:rPr>
      </w:pPr>
      <w:r>
        <w:rPr>
          <w:szCs w:val="20"/>
        </w:rPr>
        <w:t xml:space="preserve">It is still open in RAN1 whether multiple TCI states </w:t>
      </w:r>
      <w:r w:rsidR="00A72ED5">
        <w:rPr>
          <w:szCs w:val="20"/>
        </w:rPr>
        <w:t>either for separate candidate cells and/or for a single candidate cell</w:t>
      </w:r>
      <w:r w:rsidR="007B7DBD">
        <w:rPr>
          <w:szCs w:val="20"/>
        </w:rPr>
        <w:t xml:space="preserve"> can be activated in the LTM MAC-CE</w:t>
      </w:r>
      <w:r w:rsidR="006F0F08">
        <w:rPr>
          <w:szCs w:val="20"/>
        </w:rPr>
        <w:t xml:space="preserve"> TCI state activation command</w:t>
      </w:r>
      <w:r w:rsidR="00087E60">
        <w:rPr>
          <w:szCs w:val="20"/>
        </w:rPr>
        <w:t>. Furthermore, it is open in R</w:t>
      </w:r>
      <w:r w:rsidR="006F0F08">
        <w:rPr>
          <w:szCs w:val="20"/>
        </w:rPr>
        <w:t>AN</w:t>
      </w:r>
      <w:r w:rsidR="00087E60">
        <w:rPr>
          <w:szCs w:val="20"/>
        </w:rPr>
        <w:t xml:space="preserve">2 whether in the case of activating multiple TCI states for more than one candidate cell, the TCI states </w:t>
      </w:r>
      <w:r w:rsidR="00F91A44">
        <w:rPr>
          <w:szCs w:val="20"/>
        </w:rPr>
        <w:t>are to be</w:t>
      </w:r>
      <w:r w:rsidR="00087E60">
        <w:rPr>
          <w:szCs w:val="20"/>
        </w:rPr>
        <w:t xml:space="preserve"> activated</w:t>
      </w:r>
      <w:r w:rsidR="006F0F08">
        <w:rPr>
          <w:szCs w:val="20"/>
        </w:rPr>
        <w:t xml:space="preserve"> by</w:t>
      </w:r>
      <w:r w:rsidR="00087E60">
        <w:rPr>
          <w:szCs w:val="20"/>
        </w:rPr>
        <w:t xml:space="preserve"> the same </w:t>
      </w:r>
      <w:r w:rsidR="00B84557">
        <w:rPr>
          <w:szCs w:val="20"/>
        </w:rPr>
        <w:t xml:space="preserve">or separate </w:t>
      </w:r>
      <w:r w:rsidR="00087E60">
        <w:rPr>
          <w:szCs w:val="20"/>
        </w:rPr>
        <w:t>MAC-CE</w:t>
      </w:r>
      <w:r w:rsidR="00B84557">
        <w:rPr>
          <w:szCs w:val="20"/>
        </w:rPr>
        <w:t>s</w:t>
      </w:r>
      <w:r w:rsidR="007B7DBD">
        <w:rPr>
          <w:szCs w:val="20"/>
        </w:rPr>
        <w:t xml:space="preserve">. </w:t>
      </w:r>
      <w:r>
        <w:rPr>
          <w:lang w:val="en-GB" w:eastAsia="en-GB"/>
        </w:rPr>
        <w:t>If multiple TCI states can be activated before the cell switch command</w:t>
      </w:r>
      <w:r w:rsidR="00325BA9">
        <w:rPr>
          <w:lang w:val="en-GB" w:eastAsia="en-GB"/>
        </w:rPr>
        <w:t xml:space="preserve"> for multiple candidate cells and/or</w:t>
      </w:r>
      <w:r w:rsidR="00E7406A">
        <w:rPr>
          <w:lang w:val="en-GB" w:eastAsia="en-GB"/>
        </w:rPr>
        <w:t xml:space="preserve"> for a single candidate cell</w:t>
      </w:r>
      <w:r>
        <w:rPr>
          <w:lang w:val="en-GB" w:eastAsia="en-GB"/>
        </w:rPr>
        <w:t xml:space="preserve">, then this also needs to be </w:t>
      </w:r>
      <w:proofErr w:type="gramStart"/>
      <w:r>
        <w:rPr>
          <w:lang w:val="en-GB" w:eastAsia="en-GB"/>
        </w:rPr>
        <w:t>taken into account</w:t>
      </w:r>
      <w:proofErr w:type="gramEnd"/>
      <w:r>
        <w:rPr>
          <w:lang w:val="en-GB" w:eastAsia="en-GB"/>
        </w:rPr>
        <w:t xml:space="preserve"> in the requirements.</w:t>
      </w:r>
    </w:p>
    <w:p w14:paraId="1CDDD85F" w14:textId="1FFFFE4D" w:rsidR="00EF006F" w:rsidRDefault="00EF006F" w:rsidP="00EF006F">
      <w:pPr>
        <w:pStyle w:val="RAN4observation0"/>
        <w:jc w:val="both"/>
      </w:pPr>
      <w:bookmarkStart w:id="9" w:name="_Toc142662469"/>
      <w:r>
        <w:rPr>
          <w:lang w:val="en-GB" w:eastAsia="en-GB"/>
        </w:rPr>
        <w:t xml:space="preserve">Whether </w:t>
      </w:r>
      <w:r w:rsidR="0028790D">
        <w:rPr>
          <w:lang w:val="en-GB" w:eastAsia="en-GB"/>
        </w:rPr>
        <w:t xml:space="preserve">one or more </w:t>
      </w:r>
      <w:r w:rsidRPr="00244641">
        <w:t>joint TCI state</w:t>
      </w:r>
      <w:r w:rsidR="0028790D">
        <w:t>(s)</w:t>
      </w:r>
      <w:r w:rsidRPr="00244641">
        <w:t xml:space="preserve"> or </w:t>
      </w:r>
      <w:r w:rsidR="0028790D">
        <w:t>pair(s)</w:t>
      </w:r>
      <w:r w:rsidRPr="00244641">
        <w:t xml:space="preserve"> of UL/DL TCI state</w:t>
      </w:r>
      <w:r>
        <w:t xml:space="preserve">s can be activated before the cell switch command </w:t>
      </w:r>
      <w:r w:rsidR="00E7406A">
        <w:t xml:space="preserve">for one or more LTM candidate cells </w:t>
      </w:r>
      <w:r>
        <w:t>is not yet defined in RAN1</w:t>
      </w:r>
      <w:r w:rsidR="006E5D40">
        <w:t>/RAN2</w:t>
      </w:r>
      <w:r>
        <w:t xml:space="preserve">. The need for RAN4 requirements for activation of multiple TCI states depends on </w:t>
      </w:r>
      <w:r w:rsidR="00850259">
        <w:t xml:space="preserve">the related </w:t>
      </w:r>
      <w:r>
        <w:t>RAN1</w:t>
      </w:r>
      <w:r w:rsidR="006E5D40">
        <w:t>/RAN2</w:t>
      </w:r>
      <w:r>
        <w:t xml:space="preserve"> agreements.</w:t>
      </w:r>
      <w:bookmarkEnd w:id="9"/>
    </w:p>
    <w:p w14:paraId="34FC62C6" w14:textId="73B960E2" w:rsidR="00596CB4" w:rsidRDefault="00596CB4" w:rsidP="00596CB4">
      <w:pPr>
        <w:pStyle w:val="RAN4proposal"/>
      </w:pPr>
      <w:bookmarkStart w:id="10" w:name="_Toc142662470"/>
      <w:r>
        <w:t>Wait for RAN1/RAN2 agreements on activation of more than one joint or</w:t>
      </w:r>
      <w:r w:rsidR="00517705">
        <w:t xml:space="preserve"> separate DL/UL TCI states for one or more LTM candidate cells</w:t>
      </w:r>
      <w:r w:rsidR="00592806">
        <w:t xml:space="preserve"> before defining the corresponding requirements.</w:t>
      </w:r>
      <w:bookmarkEnd w:id="10"/>
    </w:p>
    <w:p w14:paraId="46660031" w14:textId="634566A3" w:rsidR="00592806" w:rsidRDefault="00592806" w:rsidP="00592806">
      <w:pPr>
        <w:pStyle w:val="RAN4H2"/>
      </w:pPr>
      <w:r>
        <w:t xml:space="preserve">Known/unknown TCI </w:t>
      </w:r>
      <w:proofErr w:type="gramStart"/>
      <w:r>
        <w:t>states</w:t>
      </w:r>
      <w:proofErr w:type="gramEnd"/>
    </w:p>
    <w:p w14:paraId="49D775C6" w14:textId="78A75AA2" w:rsidR="00592806" w:rsidRDefault="00592806" w:rsidP="00592806">
      <w:r>
        <w:t>When one or more TCI states are activated before the cell switch command</w:t>
      </w:r>
      <w:r w:rsidR="008217BE">
        <w:t xml:space="preserve">, each TCI state can be considered known or unknown. </w:t>
      </w:r>
      <w:r w:rsidR="000A5A7A">
        <w:t xml:space="preserve">When the activation is done before the cell switch, </w:t>
      </w:r>
      <w:r w:rsidR="00A65B70">
        <w:t>whether the TCI state is known or unknown and the corresponding difference in the TCI state activation delay</w:t>
      </w:r>
      <w:r w:rsidR="000A5A7A">
        <w:t xml:space="preserve"> does not impact the cell switch delay. </w:t>
      </w:r>
      <w:r w:rsidR="00DE1022">
        <w:t>To cover all scenarios</w:t>
      </w:r>
      <w:r w:rsidR="000A5A7A">
        <w:t xml:space="preserve">, we </w:t>
      </w:r>
      <w:r w:rsidR="00DE1022">
        <w:t>propose that</w:t>
      </w:r>
      <w:r w:rsidR="000A5A7A">
        <w:t xml:space="preserve"> RAN4 should define </w:t>
      </w:r>
      <w:r w:rsidR="00DE1022">
        <w:t xml:space="preserve">TCI state switching delay </w:t>
      </w:r>
      <w:r w:rsidR="000A5A7A">
        <w:t>requirements for both known and unknown TCI states, when TCI state activation is done with a separate MAC-CE before the cell switch command.</w:t>
      </w:r>
    </w:p>
    <w:p w14:paraId="4739428C" w14:textId="24C9468D" w:rsidR="000A5A7A" w:rsidRPr="00592806" w:rsidRDefault="000A5A7A" w:rsidP="000A5A7A">
      <w:pPr>
        <w:pStyle w:val="RAN4proposal"/>
      </w:pPr>
      <w:bookmarkStart w:id="11" w:name="_Toc142662471"/>
      <w:r>
        <w:t xml:space="preserve">For TCI state activation </w:t>
      </w:r>
      <w:r w:rsidR="006B1090">
        <w:t xml:space="preserve">before LTM cell switch command, define </w:t>
      </w:r>
      <w:r w:rsidR="00FC0762">
        <w:t xml:space="preserve">TCI state switching </w:t>
      </w:r>
      <w:r w:rsidR="006B1090">
        <w:t>delay requirements for both known and unknown TCI states.</w:t>
      </w:r>
      <w:bookmarkEnd w:id="11"/>
    </w:p>
    <w:p w14:paraId="3626BC96" w14:textId="77777777" w:rsidR="00CD7492" w:rsidRPr="008C39F7" w:rsidRDefault="00CD7492" w:rsidP="00A37002">
      <w:pPr>
        <w:pStyle w:val="RAN4H1"/>
      </w:pPr>
      <w:bookmarkStart w:id="12" w:name="_Toc116995848"/>
      <w:r w:rsidRPr="008C39F7">
        <w:t>Conclusion</w:t>
      </w:r>
      <w:bookmarkEnd w:id="12"/>
    </w:p>
    <w:p w14:paraId="071DA415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5BFACC3" w14:textId="28DD35CD" w:rsidR="00FC076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2662464" w:history="1">
        <w:r w:rsidR="00FC0762" w:rsidRPr="004B234C">
          <w:rPr>
            <w:rStyle w:val="Hyperlink"/>
            <w:b/>
            <w:noProof/>
          </w:rPr>
          <w:t>Observation 1:</w:t>
        </w:r>
        <w:r w:rsidR="00FC0762" w:rsidRPr="004B234C">
          <w:rPr>
            <w:rStyle w:val="Hyperlink"/>
            <w:noProof/>
          </w:rPr>
          <w:t xml:space="preserve"> Unified TCI state framework is used to indicate the target beam in LTM.</w:t>
        </w:r>
      </w:hyperlink>
    </w:p>
    <w:p w14:paraId="5553A5FB" w14:textId="61E9FB6C" w:rsidR="00FC0762" w:rsidRDefault="00FC076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2465" w:history="1">
        <w:r w:rsidRPr="004B234C">
          <w:rPr>
            <w:rStyle w:val="Hyperlink"/>
            <w:b/>
            <w:noProof/>
          </w:rPr>
          <w:t>Observation 2:</w:t>
        </w:r>
        <w:r w:rsidRPr="004B234C">
          <w:rPr>
            <w:rStyle w:val="Hyperlink"/>
            <w:noProof/>
          </w:rPr>
          <w:t xml:space="preserve"> In LTM, TCI state activation can be done either with a separate MAC CE before the cell switch command or at the cell switch command.</w:t>
        </w:r>
      </w:hyperlink>
    </w:p>
    <w:p w14:paraId="051372D1" w14:textId="2C13133E" w:rsidR="00FC0762" w:rsidRDefault="00FC076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2466" w:history="1">
        <w:r w:rsidRPr="004B234C">
          <w:rPr>
            <w:rStyle w:val="Hyperlink"/>
            <w:b/>
            <w:noProof/>
          </w:rPr>
          <w:t>Observation 3:</w:t>
        </w:r>
        <w:r w:rsidRPr="004B234C">
          <w:rPr>
            <w:rStyle w:val="Hyperlink"/>
            <w:noProof/>
          </w:rPr>
          <w:t xml:space="preserve"> In LTM, TCI state indication is done at the cell switch command, which is a MAC-CE command (not DCI as in legacy).</w:t>
        </w:r>
      </w:hyperlink>
    </w:p>
    <w:p w14:paraId="56286D3A" w14:textId="169BD630" w:rsidR="00FC0762" w:rsidRDefault="00FC076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2467" w:history="1">
        <w:r w:rsidRPr="004B234C">
          <w:rPr>
            <w:rStyle w:val="Hyperlink"/>
            <w:noProof/>
            <w:lang w:val="en-GB" w:eastAsia="en-GB"/>
          </w:rPr>
          <w:t>Proposal 1: Define TCI state switching delay requirements for TCI state activation before the cell switch command.</w:t>
        </w:r>
      </w:hyperlink>
    </w:p>
    <w:p w14:paraId="67F337D7" w14:textId="5CD43A17" w:rsidR="00FC0762" w:rsidRDefault="00FC076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2468" w:history="1">
        <w:r w:rsidRPr="004B234C">
          <w:rPr>
            <w:rStyle w:val="Hyperlink"/>
            <w:noProof/>
            <w:lang w:val="en-GB" w:eastAsia="en-GB"/>
          </w:rPr>
          <w:t>Proposal 2: Depending on RAN2 design of MAC-CE for TCI state activation for a LTM candidate cell, RAN4 to use the legacy MAC-CE based TCI state switching delay requirement for unified TCI states as the baseline for TCI state activation delay for a LTM candidate cell before the cell switch command.</w:t>
        </w:r>
      </w:hyperlink>
    </w:p>
    <w:p w14:paraId="78B210EA" w14:textId="37953DF8" w:rsidR="00FC0762" w:rsidRDefault="00FC076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2469" w:history="1">
        <w:r w:rsidRPr="004B234C">
          <w:rPr>
            <w:rStyle w:val="Hyperlink"/>
            <w:b/>
            <w:noProof/>
          </w:rPr>
          <w:t>Observation 4:</w:t>
        </w:r>
        <w:r w:rsidRPr="004B234C">
          <w:rPr>
            <w:rStyle w:val="Hyperlink"/>
            <w:noProof/>
            <w:lang w:val="en-GB" w:eastAsia="en-GB"/>
          </w:rPr>
          <w:t xml:space="preserve"> Whether one or more </w:t>
        </w:r>
        <w:r w:rsidRPr="004B234C">
          <w:rPr>
            <w:rStyle w:val="Hyperlink"/>
            <w:noProof/>
          </w:rPr>
          <w:t>joint TCI state(s) or pair(s) of UL/DL TCI states can be activated before the cell switch command for one or more LTM candidate cells is not yet defined in RAN1/RAN2. The need for RAN4 requirements for activation of multiple TCI states depends on the related RAN1/RAN2 agreements.</w:t>
        </w:r>
      </w:hyperlink>
    </w:p>
    <w:p w14:paraId="623FCABB" w14:textId="3B9C7A2C" w:rsidR="00FC0762" w:rsidRDefault="00FC076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2470" w:history="1">
        <w:r w:rsidRPr="004B234C">
          <w:rPr>
            <w:rStyle w:val="Hyperlink"/>
            <w:noProof/>
          </w:rPr>
          <w:t>Proposal 3: Wait for RAN1/RAN2 agreements on activation of more than one joint or separate DL/UL TCI states for one or more LTM candidate cells before defining the corresponding requirements.</w:t>
        </w:r>
      </w:hyperlink>
    </w:p>
    <w:p w14:paraId="44514D29" w14:textId="2DCDC8E1" w:rsidR="00FC0762" w:rsidRDefault="00FC076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2471" w:history="1">
        <w:r w:rsidRPr="004B234C">
          <w:rPr>
            <w:rStyle w:val="Hyperlink"/>
            <w:noProof/>
          </w:rPr>
          <w:t>Proposal 4: For TCI state activation before LTM cell switch command, define TCI state switching delay requirements for both known and unknown TCI states.</w:t>
        </w:r>
      </w:hyperlink>
    </w:p>
    <w:p w14:paraId="02334846" w14:textId="662DFF37" w:rsidR="00796F26" w:rsidRDefault="00A4355E">
      <w:pPr>
        <w:rPr>
          <w:rFonts w:ascii="Arial" w:eastAsia="SimSun" w:hAnsi="Arial" w:cs="Times New Roman"/>
          <w:sz w:val="36"/>
          <w:szCs w:val="20"/>
        </w:rPr>
      </w:pPr>
      <w:r w:rsidRPr="008C39F7">
        <w:fldChar w:fldCharType="end"/>
      </w:r>
      <w:bookmarkStart w:id="13" w:name="_Toc116995849"/>
    </w:p>
    <w:p w14:paraId="0468558A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3"/>
    </w:p>
    <w:p w14:paraId="31A633C7" w14:textId="45E57BEF" w:rsidR="00687FA0" w:rsidRPr="008C39F7" w:rsidRDefault="00F54EB3" w:rsidP="00D66188">
      <w:pPr>
        <w:pStyle w:val="ListParagraph"/>
        <w:numPr>
          <w:ilvl w:val="0"/>
          <w:numId w:val="21"/>
        </w:numPr>
        <w:ind w:right="-22"/>
      </w:pPr>
      <w:bookmarkStart w:id="14" w:name="_Ref114500673"/>
      <w:bookmarkEnd w:id="14"/>
      <w:r w:rsidRPr="00F54EB3">
        <w:t>R4-2312522</w:t>
      </w:r>
      <w:r w:rsidR="00D40288" w:rsidRPr="008C39F7">
        <w:t>,</w:t>
      </w:r>
      <w:r w:rsidR="000040DC" w:rsidRPr="008C39F7">
        <w:t xml:space="preserve"> </w:t>
      </w:r>
      <w:r w:rsidRPr="00F54EB3">
        <w:t>Discussion on LTM cell switch delay requirements</w:t>
      </w:r>
      <w:r>
        <w:t xml:space="preserve">, </w:t>
      </w:r>
      <w:r w:rsidR="000040DC" w:rsidRPr="008C39F7">
        <w:t>Nokia, Nokia Shanghai Bell</w:t>
      </w:r>
      <w:r w:rsidR="00B408B6" w:rsidRPr="008C39F7">
        <w:t xml:space="preserve">, </w:t>
      </w:r>
      <w:r w:rsidR="00D40288" w:rsidRPr="008C39F7">
        <w:t>RAN4 #105, Toulouse, France, November 14 – November 18, 2022</w:t>
      </w:r>
      <w:r w:rsidR="000040DC" w:rsidRPr="008C39F7">
        <w:t xml:space="preserve">. </w:t>
      </w:r>
    </w:p>
    <w:p w14:paraId="07EC3B55" w14:textId="77777777" w:rsidR="000040DC" w:rsidRPr="008C39F7" w:rsidRDefault="000040DC" w:rsidP="000040DC">
      <w:pPr>
        <w:ind w:right="-22"/>
        <w:rPr>
          <w:highlight w:val="yellow"/>
        </w:rPr>
      </w:pPr>
    </w:p>
    <w:p w14:paraId="0CACEBB9" w14:textId="77777777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2AA1" w14:textId="77777777" w:rsidR="004F657A" w:rsidRDefault="004F657A" w:rsidP="00001C9B">
      <w:pPr>
        <w:spacing w:after="0" w:line="240" w:lineRule="auto"/>
      </w:pPr>
      <w:r>
        <w:separator/>
      </w:r>
    </w:p>
  </w:endnote>
  <w:endnote w:type="continuationSeparator" w:id="0">
    <w:p w14:paraId="5B9FEB8A" w14:textId="77777777" w:rsidR="004F657A" w:rsidRDefault="004F657A" w:rsidP="00001C9B">
      <w:pPr>
        <w:spacing w:after="0" w:line="240" w:lineRule="auto"/>
      </w:pPr>
      <w:r>
        <w:continuationSeparator/>
      </w:r>
    </w:p>
  </w:endnote>
  <w:endnote w:type="continuationNotice" w:id="1">
    <w:p w14:paraId="4644F275" w14:textId="77777777" w:rsidR="004F657A" w:rsidRDefault="004F65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630A" w14:textId="77777777" w:rsidR="004F657A" w:rsidRDefault="004F657A" w:rsidP="00001C9B">
      <w:pPr>
        <w:spacing w:after="0" w:line="240" w:lineRule="auto"/>
      </w:pPr>
      <w:r>
        <w:separator/>
      </w:r>
    </w:p>
  </w:footnote>
  <w:footnote w:type="continuationSeparator" w:id="0">
    <w:p w14:paraId="09095386" w14:textId="77777777" w:rsidR="004F657A" w:rsidRDefault="004F657A" w:rsidP="00001C9B">
      <w:pPr>
        <w:spacing w:after="0" w:line="240" w:lineRule="auto"/>
      </w:pPr>
      <w:r>
        <w:continuationSeparator/>
      </w:r>
    </w:p>
  </w:footnote>
  <w:footnote w:type="continuationNotice" w:id="1">
    <w:p w14:paraId="3B72A122" w14:textId="77777777" w:rsidR="004F657A" w:rsidRDefault="004F65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0FE0"/>
    <w:multiLevelType w:val="hybridMultilevel"/>
    <w:tmpl w:val="3E467A12"/>
    <w:lvl w:ilvl="0" w:tplc="5CACD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212FD"/>
    <w:multiLevelType w:val="multilevel"/>
    <w:tmpl w:val="3DE2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B51536"/>
    <w:multiLevelType w:val="multilevel"/>
    <w:tmpl w:val="B852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A15F61"/>
    <w:multiLevelType w:val="hybridMultilevel"/>
    <w:tmpl w:val="B8DC4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2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684938240">
    <w:abstractNumId w:val="10"/>
  </w:num>
  <w:num w:numId="28" w16cid:durableId="281963252">
    <w:abstractNumId w:val="16"/>
  </w:num>
  <w:num w:numId="29" w16cid:durableId="1851526014">
    <w:abstractNumId w:val="6"/>
  </w:num>
  <w:num w:numId="30" w16cid:durableId="448160958">
    <w:abstractNumId w:val="7"/>
  </w:num>
  <w:num w:numId="31" w16cid:durableId="645739733">
    <w:abstractNumId w:val="17"/>
  </w:num>
  <w:num w:numId="32" w16cid:durableId="2321316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1AD9"/>
    <w:rsid w:val="00001C9B"/>
    <w:rsid w:val="000040DC"/>
    <w:rsid w:val="00011409"/>
    <w:rsid w:val="00011784"/>
    <w:rsid w:val="000151EF"/>
    <w:rsid w:val="000224C0"/>
    <w:rsid w:val="000239F5"/>
    <w:rsid w:val="00041C05"/>
    <w:rsid w:val="00050B7A"/>
    <w:rsid w:val="0007647F"/>
    <w:rsid w:val="000840E0"/>
    <w:rsid w:val="00085977"/>
    <w:rsid w:val="0008612A"/>
    <w:rsid w:val="00087E60"/>
    <w:rsid w:val="00090E18"/>
    <w:rsid w:val="000A10BC"/>
    <w:rsid w:val="000A5A7A"/>
    <w:rsid w:val="000B0056"/>
    <w:rsid w:val="000C3C7B"/>
    <w:rsid w:val="000C7C33"/>
    <w:rsid w:val="000D0F93"/>
    <w:rsid w:val="000D5B20"/>
    <w:rsid w:val="000F479C"/>
    <w:rsid w:val="000F5CFE"/>
    <w:rsid w:val="000F6CE4"/>
    <w:rsid w:val="00106416"/>
    <w:rsid w:val="00110481"/>
    <w:rsid w:val="00110D87"/>
    <w:rsid w:val="001127C9"/>
    <w:rsid w:val="00115B88"/>
    <w:rsid w:val="00130AD6"/>
    <w:rsid w:val="00132F6A"/>
    <w:rsid w:val="001333F0"/>
    <w:rsid w:val="00133913"/>
    <w:rsid w:val="00140221"/>
    <w:rsid w:val="00160B6F"/>
    <w:rsid w:val="001642FC"/>
    <w:rsid w:val="0016496B"/>
    <w:rsid w:val="001743E2"/>
    <w:rsid w:val="001745F8"/>
    <w:rsid w:val="00180DF3"/>
    <w:rsid w:val="00181AE3"/>
    <w:rsid w:val="001838CF"/>
    <w:rsid w:val="001868EE"/>
    <w:rsid w:val="001A3BA4"/>
    <w:rsid w:val="001A6D1F"/>
    <w:rsid w:val="001B474A"/>
    <w:rsid w:val="001C24D2"/>
    <w:rsid w:val="001D5524"/>
    <w:rsid w:val="001E30F6"/>
    <w:rsid w:val="001E7F23"/>
    <w:rsid w:val="001F3496"/>
    <w:rsid w:val="002022C9"/>
    <w:rsid w:val="00217EE5"/>
    <w:rsid w:val="00235F5C"/>
    <w:rsid w:val="0024293B"/>
    <w:rsid w:val="00243FF5"/>
    <w:rsid w:val="00245C0E"/>
    <w:rsid w:val="00257FA3"/>
    <w:rsid w:val="00277B56"/>
    <w:rsid w:val="00283287"/>
    <w:rsid w:val="00285147"/>
    <w:rsid w:val="00286F94"/>
    <w:rsid w:val="0028790D"/>
    <w:rsid w:val="002966F9"/>
    <w:rsid w:val="002A19F5"/>
    <w:rsid w:val="002B4922"/>
    <w:rsid w:val="002C22C3"/>
    <w:rsid w:val="002C2D19"/>
    <w:rsid w:val="002D10FA"/>
    <w:rsid w:val="002D4C55"/>
    <w:rsid w:val="002E44DC"/>
    <w:rsid w:val="002E6DED"/>
    <w:rsid w:val="002E7270"/>
    <w:rsid w:val="00300956"/>
    <w:rsid w:val="00301406"/>
    <w:rsid w:val="003028C3"/>
    <w:rsid w:val="00304C2E"/>
    <w:rsid w:val="00306B9F"/>
    <w:rsid w:val="00311204"/>
    <w:rsid w:val="003169FD"/>
    <w:rsid w:val="00317187"/>
    <w:rsid w:val="0032499A"/>
    <w:rsid w:val="00325BA9"/>
    <w:rsid w:val="003341F7"/>
    <w:rsid w:val="00347099"/>
    <w:rsid w:val="00347FEC"/>
    <w:rsid w:val="00356F45"/>
    <w:rsid w:val="00364D97"/>
    <w:rsid w:val="003660E4"/>
    <w:rsid w:val="00366B74"/>
    <w:rsid w:val="0037092E"/>
    <w:rsid w:val="003914C0"/>
    <w:rsid w:val="003927CA"/>
    <w:rsid w:val="003A710A"/>
    <w:rsid w:val="003B08C1"/>
    <w:rsid w:val="003B2B6D"/>
    <w:rsid w:val="003B659E"/>
    <w:rsid w:val="003C275E"/>
    <w:rsid w:val="003C4FDE"/>
    <w:rsid w:val="003D3520"/>
    <w:rsid w:val="003E58DF"/>
    <w:rsid w:val="003F5912"/>
    <w:rsid w:val="00401953"/>
    <w:rsid w:val="00404C4C"/>
    <w:rsid w:val="0041423F"/>
    <w:rsid w:val="00414F81"/>
    <w:rsid w:val="00422FC4"/>
    <w:rsid w:val="004317AC"/>
    <w:rsid w:val="004352B3"/>
    <w:rsid w:val="00436A0F"/>
    <w:rsid w:val="00437150"/>
    <w:rsid w:val="0043750A"/>
    <w:rsid w:val="00437CB2"/>
    <w:rsid w:val="00442C7E"/>
    <w:rsid w:val="00452D70"/>
    <w:rsid w:val="0045351B"/>
    <w:rsid w:val="004562FD"/>
    <w:rsid w:val="00465E7F"/>
    <w:rsid w:val="004732E9"/>
    <w:rsid w:val="004854BB"/>
    <w:rsid w:val="00494493"/>
    <w:rsid w:val="00496606"/>
    <w:rsid w:val="004B6564"/>
    <w:rsid w:val="004C7132"/>
    <w:rsid w:val="004D7323"/>
    <w:rsid w:val="004E5E66"/>
    <w:rsid w:val="004E7ADB"/>
    <w:rsid w:val="004F657A"/>
    <w:rsid w:val="00503B4D"/>
    <w:rsid w:val="00504EE9"/>
    <w:rsid w:val="00513C73"/>
    <w:rsid w:val="00517705"/>
    <w:rsid w:val="00521576"/>
    <w:rsid w:val="005250E6"/>
    <w:rsid w:val="00536359"/>
    <w:rsid w:val="00542D23"/>
    <w:rsid w:val="0054442C"/>
    <w:rsid w:val="005445E7"/>
    <w:rsid w:val="00550285"/>
    <w:rsid w:val="00562492"/>
    <w:rsid w:val="00572A20"/>
    <w:rsid w:val="005836F8"/>
    <w:rsid w:val="005918FA"/>
    <w:rsid w:val="00592806"/>
    <w:rsid w:val="00592A86"/>
    <w:rsid w:val="00596CB4"/>
    <w:rsid w:val="005B4801"/>
    <w:rsid w:val="005C2364"/>
    <w:rsid w:val="005C23A4"/>
    <w:rsid w:val="005D1CDF"/>
    <w:rsid w:val="005D2BB7"/>
    <w:rsid w:val="005E61A8"/>
    <w:rsid w:val="005F2873"/>
    <w:rsid w:val="005F3B60"/>
    <w:rsid w:val="005F6419"/>
    <w:rsid w:val="00602DE3"/>
    <w:rsid w:val="0060543D"/>
    <w:rsid w:val="006104DD"/>
    <w:rsid w:val="006130B5"/>
    <w:rsid w:val="00614DBA"/>
    <w:rsid w:val="00617400"/>
    <w:rsid w:val="00632D29"/>
    <w:rsid w:val="0065728D"/>
    <w:rsid w:val="00664950"/>
    <w:rsid w:val="0067065A"/>
    <w:rsid w:val="00682ABF"/>
    <w:rsid w:val="00683220"/>
    <w:rsid w:val="00687FA0"/>
    <w:rsid w:val="00696207"/>
    <w:rsid w:val="006A3C11"/>
    <w:rsid w:val="006B1090"/>
    <w:rsid w:val="006B7010"/>
    <w:rsid w:val="006C3095"/>
    <w:rsid w:val="006D2CE5"/>
    <w:rsid w:val="006E1151"/>
    <w:rsid w:val="006E5D40"/>
    <w:rsid w:val="006E6311"/>
    <w:rsid w:val="006F0F08"/>
    <w:rsid w:val="007145FF"/>
    <w:rsid w:val="00715B2A"/>
    <w:rsid w:val="00720BD7"/>
    <w:rsid w:val="007450F1"/>
    <w:rsid w:val="007455C5"/>
    <w:rsid w:val="00745D89"/>
    <w:rsid w:val="00751515"/>
    <w:rsid w:val="007626B7"/>
    <w:rsid w:val="00762CEA"/>
    <w:rsid w:val="007728F0"/>
    <w:rsid w:val="0078212B"/>
    <w:rsid w:val="00784DF6"/>
    <w:rsid w:val="00785232"/>
    <w:rsid w:val="00796F26"/>
    <w:rsid w:val="007A13ED"/>
    <w:rsid w:val="007B16B8"/>
    <w:rsid w:val="007B186C"/>
    <w:rsid w:val="007B7DBD"/>
    <w:rsid w:val="007C1696"/>
    <w:rsid w:val="007C3ED0"/>
    <w:rsid w:val="007C5971"/>
    <w:rsid w:val="007D6DE1"/>
    <w:rsid w:val="007E3FAF"/>
    <w:rsid w:val="007F54B9"/>
    <w:rsid w:val="00806A76"/>
    <w:rsid w:val="00811C9D"/>
    <w:rsid w:val="00814232"/>
    <w:rsid w:val="00816C80"/>
    <w:rsid w:val="00816F40"/>
    <w:rsid w:val="008217BE"/>
    <w:rsid w:val="008223E4"/>
    <w:rsid w:val="008247BD"/>
    <w:rsid w:val="00826BA4"/>
    <w:rsid w:val="00841BCD"/>
    <w:rsid w:val="00846A36"/>
    <w:rsid w:val="00850259"/>
    <w:rsid w:val="00851A8E"/>
    <w:rsid w:val="0085365B"/>
    <w:rsid w:val="00856828"/>
    <w:rsid w:val="0087211F"/>
    <w:rsid w:val="008826C1"/>
    <w:rsid w:val="00883DFD"/>
    <w:rsid w:val="00885163"/>
    <w:rsid w:val="008A1BF7"/>
    <w:rsid w:val="008A5B0E"/>
    <w:rsid w:val="008A6EE5"/>
    <w:rsid w:val="008B0961"/>
    <w:rsid w:val="008C39F7"/>
    <w:rsid w:val="008E088D"/>
    <w:rsid w:val="008F4638"/>
    <w:rsid w:val="0090091A"/>
    <w:rsid w:val="009042BD"/>
    <w:rsid w:val="00904FE4"/>
    <w:rsid w:val="00936159"/>
    <w:rsid w:val="00947C06"/>
    <w:rsid w:val="00977E1D"/>
    <w:rsid w:val="009B0573"/>
    <w:rsid w:val="009B2D17"/>
    <w:rsid w:val="009B3430"/>
    <w:rsid w:val="009B7B4B"/>
    <w:rsid w:val="009B7C21"/>
    <w:rsid w:val="009D422A"/>
    <w:rsid w:val="009E228B"/>
    <w:rsid w:val="009F71EE"/>
    <w:rsid w:val="00A04992"/>
    <w:rsid w:val="00A147AA"/>
    <w:rsid w:val="00A16CB1"/>
    <w:rsid w:val="00A21924"/>
    <w:rsid w:val="00A21D71"/>
    <w:rsid w:val="00A22B78"/>
    <w:rsid w:val="00A25AE5"/>
    <w:rsid w:val="00A333D6"/>
    <w:rsid w:val="00A335D7"/>
    <w:rsid w:val="00A367B2"/>
    <w:rsid w:val="00A37002"/>
    <w:rsid w:val="00A4355E"/>
    <w:rsid w:val="00A61D31"/>
    <w:rsid w:val="00A65B70"/>
    <w:rsid w:val="00A72ED5"/>
    <w:rsid w:val="00A92BCD"/>
    <w:rsid w:val="00A97687"/>
    <w:rsid w:val="00AA1B0E"/>
    <w:rsid w:val="00AA47B6"/>
    <w:rsid w:val="00AA4A3A"/>
    <w:rsid w:val="00AB3DF7"/>
    <w:rsid w:val="00AB4593"/>
    <w:rsid w:val="00AC163B"/>
    <w:rsid w:val="00AC4A29"/>
    <w:rsid w:val="00AC5CA7"/>
    <w:rsid w:val="00AC6058"/>
    <w:rsid w:val="00AE2BA5"/>
    <w:rsid w:val="00AE56B1"/>
    <w:rsid w:val="00AE6D09"/>
    <w:rsid w:val="00AF7A7C"/>
    <w:rsid w:val="00B02070"/>
    <w:rsid w:val="00B04472"/>
    <w:rsid w:val="00B167C0"/>
    <w:rsid w:val="00B223D3"/>
    <w:rsid w:val="00B408B6"/>
    <w:rsid w:val="00B46413"/>
    <w:rsid w:val="00B542DA"/>
    <w:rsid w:val="00B54CC9"/>
    <w:rsid w:val="00B57ACD"/>
    <w:rsid w:val="00B632FB"/>
    <w:rsid w:val="00B73862"/>
    <w:rsid w:val="00B73F43"/>
    <w:rsid w:val="00B84557"/>
    <w:rsid w:val="00B87F8A"/>
    <w:rsid w:val="00BA6B66"/>
    <w:rsid w:val="00BA6E48"/>
    <w:rsid w:val="00BB66EA"/>
    <w:rsid w:val="00BC1AD9"/>
    <w:rsid w:val="00BE0AF6"/>
    <w:rsid w:val="00BE1F03"/>
    <w:rsid w:val="00BE58A7"/>
    <w:rsid w:val="00BF2218"/>
    <w:rsid w:val="00C02F8C"/>
    <w:rsid w:val="00C0426B"/>
    <w:rsid w:val="00C045DF"/>
    <w:rsid w:val="00C26D43"/>
    <w:rsid w:val="00C3611A"/>
    <w:rsid w:val="00C46548"/>
    <w:rsid w:val="00C574D5"/>
    <w:rsid w:val="00C66569"/>
    <w:rsid w:val="00C73F32"/>
    <w:rsid w:val="00C87462"/>
    <w:rsid w:val="00CA180C"/>
    <w:rsid w:val="00CA2553"/>
    <w:rsid w:val="00CB22B2"/>
    <w:rsid w:val="00CB529B"/>
    <w:rsid w:val="00CC3EE2"/>
    <w:rsid w:val="00CD7492"/>
    <w:rsid w:val="00CE3A6B"/>
    <w:rsid w:val="00CF4B99"/>
    <w:rsid w:val="00D00211"/>
    <w:rsid w:val="00D06309"/>
    <w:rsid w:val="00D351EA"/>
    <w:rsid w:val="00D40288"/>
    <w:rsid w:val="00D41FB8"/>
    <w:rsid w:val="00D43403"/>
    <w:rsid w:val="00D5270B"/>
    <w:rsid w:val="00D5660A"/>
    <w:rsid w:val="00D62E71"/>
    <w:rsid w:val="00D6430D"/>
    <w:rsid w:val="00D6522C"/>
    <w:rsid w:val="00D654A0"/>
    <w:rsid w:val="00D66188"/>
    <w:rsid w:val="00D731F6"/>
    <w:rsid w:val="00D740CA"/>
    <w:rsid w:val="00D85728"/>
    <w:rsid w:val="00D95481"/>
    <w:rsid w:val="00DA7C23"/>
    <w:rsid w:val="00DC7A13"/>
    <w:rsid w:val="00DE1022"/>
    <w:rsid w:val="00DE2065"/>
    <w:rsid w:val="00DE6D4D"/>
    <w:rsid w:val="00DF2997"/>
    <w:rsid w:val="00E10BC4"/>
    <w:rsid w:val="00E10F07"/>
    <w:rsid w:val="00E1415D"/>
    <w:rsid w:val="00E15FDF"/>
    <w:rsid w:val="00E323E9"/>
    <w:rsid w:val="00E34018"/>
    <w:rsid w:val="00E437D2"/>
    <w:rsid w:val="00E55751"/>
    <w:rsid w:val="00E7406A"/>
    <w:rsid w:val="00EA2311"/>
    <w:rsid w:val="00EB0C82"/>
    <w:rsid w:val="00EB58CD"/>
    <w:rsid w:val="00EB5C71"/>
    <w:rsid w:val="00EC7BC3"/>
    <w:rsid w:val="00ED4698"/>
    <w:rsid w:val="00ED7600"/>
    <w:rsid w:val="00ED7FF1"/>
    <w:rsid w:val="00EF006F"/>
    <w:rsid w:val="00EF6073"/>
    <w:rsid w:val="00EF698B"/>
    <w:rsid w:val="00F1362C"/>
    <w:rsid w:val="00F414F1"/>
    <w:rsid w:val="00F45CAA"/>
    <w:rsid w:val="00F508B8"/>
    <w:rsid w:val="00F54298"/>
    <w:rsid w:val="00F54EB3"/>
    <w:rsid w:val="00F72CB1"/>
    <w:rsid w:val="00F73976"/>
    <w:rsid w:val="00F8215E"/>
    <w:rsid w:val="00F824F5"/>
    <w:rsid w:val="00F90FAB"/>
    <w:rsid w:val="00F91A44"/>
    <w:rsid w:val="00F9374D"/>
    <w:rsid w:val="00FB5756"/>
    <w:rsid w:val="00FC0762"/>
    <w:rsid w:val="00FC29B9"/>
    <w:rsid w:val="00FC6FD3"/>
    <w:rsid w:val="00FC7B6B"/>
    <w:rsid w:val="00FE305C"/>
    <w:rsid w:val="00FF0301"/>
    <w:rsid w:val="00FF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,"/>
  <w14:docId w14:val="6C12C475"/>
  <w15:chartTrackingRefBased/>
  <w15:docId w15:val="{7C990CEA-00C3-4DC2-9509-D0494298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nhideWhenUsed/>
    <w:rsid w:val="00EF006F"/>
    <w:pPr>
      <w:tabs>
        <w:tab w:val="center" w:pos="4513"/>
        <w:tab w:val="right" w:pos="9026"/>
      </w:tabs>
      <w:spacing w:after="0" w:line="240" w:lineRule="auto"/>
      <w:jc w:val="both"/>
    </w:pPr>
  </w:style>
  <w:style w:type="character" w:customStyle="1" w:styleId="HeaderChar">
    <w:name w:val="Header Char"/>
    <w:basedOn w:val="DefaultParagraphFont"/>
    <w:link w:val="Header"/>
    <w:rsid w:val="00EF006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36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6359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5G%20Radio%20-%20RAN4%205G%20Documents\RAN4%20107%20Incheon\Rel-18\!Templates\3GPP_Paper_Template_RAN4_%23107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5AIRPNAIUNRU-1328258698-24766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https://nokia.sharepoint.com/sites/c5g/5gradio/_layouts/15/DocIdRedir.aspx?ID=5AIRPNAIUNRU-1328258698-24766</Url>
      <Description>5AIRPNAIUNRU-1328258698-24766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SharedWithUsers xmlns="3b34c8f0-1ef5-4d1e-bb66-517ce7fe7356">
      <UserInfo>
        <DisplayName>Kim Nielsen (Nokia)</DisplayName>
        <AccountId>17404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0b6aed8e-0313-4d17-80ff-d0e5da4931c5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3b34c8f0-1ef5-4d1e-bb66-517ce7fe7356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4FE517-D9AF-477B-AB8F-026FDAB90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3GPP_Paper_Template_RAN4_#107_brief</Template>
  <TotalTime>0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Links>
    <vt:vector size="24" baseType="variant">
      <vt:variant>
        <vt:i4>1179709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_Toc132796771</vt:lpwstr>
      </vt:variant>
      <vt:variant>
        <vt:i4>1179709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_Toc132796770</vt:lpwstr>
      </vt:variant>
      <vt:variant>
        <vt:i4>1245245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_Toc132796769</vt:lpwstr>
      </vt:variant>
      <vt:variant>
        <vt:i4>1245245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_Toc132796768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2023-08-11T13:09:00Z</dcterms:created>
  <dcterms:modified xsi:type="dcterms:W3CDTF">2023-08-11T13:09:00Z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1b8f9cf9-6cd5-4680-9594-b0d1b96d3637</vt:lpwstr>
  </property>
  <property fmtid="{D5CDD505-2E9C-101B-9397-08002B2CF9AE}" pid="11" name="MediaServiceImageTags">
    <vt:lpwstr/>
  </property>
</Properties>
</file>